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Вариант 3 Рынок труда и правовое регулирование содействия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занятости и трудоустройства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Права и обязанности граждан Российской Федерации в сфере обеспечения занятости и трудоустройства.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Виды социальной помощи безработным гражданам. </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Особенности реализации политики занятости в Нижегородской области.</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Гражданин Савушкин (которому была установлена I группа инвалидности), обратился в центр занятости с целью регистрации его в качестве безработного. При этом Савушкин указал, что в настоящее время он не работает, и представил индивидуальную программу реабилитации инвалида, в которой содержалось заключение о рекомендуемом характере и условиях труда. Рассмотрев представленные документы, орган службы занятости отказал Савушкину в регистрации в качестве безработного, ссылаясь на получение им пенсии по инвалидности.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Дайте правовую оценку действий центра занятости в отношении гражданина Савушкина? </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 каком порядке, и в какие органы может обжаловать Савушкин действия органов службы занятости? </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Какие дополнительные гарантии в обеспечении занятости установлены для инвалидов в Российской Федерации?</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Нормативно-правовые и иные акты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Конституция Российской Федерации. Принята всенародным голосованием 12 декабря 1993г. // Российская газета. – 1993 – 25 декабря;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Всеобщая декларация прав человека (принята на третьей сессии Генеральной Ассамблеи ООН резолюцией 217 А (III) от 10 декабря 1948 г.) // Библиотечка Российской газеты. – 1999. – № 22-23.;</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Международный пакт об экономических, социальных и культурных правах (Ратифицирован Указом Президиума ВС СССР от 18 сентября 1973 г. № 4812-VIII. Вступил в силу для России с 3 января 1976 г.) // Ведомости Верховного Совета СССР. – 1976 г. – № 17 – ст.1831.</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Конвенция МОТ № 111 о дискриминации в области труда и занятий (Женева, 4 июня 1958 г.). Конвенция вступила в силу 15 июня 1960 г. Конвенция ратифицирована РСФСР 4 мая 1961 г. // Библиотечка Российской газеты. – 1999. – № 22-23.;</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Конвенция МОТ № 122 о политике в области занятости (Женева, 9 июля 1964 г.).Ратифицирована СССР 22 сентября 1967 г. // МОТ. Конвенции и рекомендации. 1957-1990. – Т.2.</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Конвенция МОТ № 181 о частных агентствах занятости (Женева, 19 июля 1997 г.). </w:t>
      </w:r>
      <w:r>
        <w:rPr>
          <w:rFonts w:ascii="Times New Roman" w:hAnsi="Times New Roman" w:cs="Times New Roman" w:eastAsia="Times New Roman"/>
          <w:i/>
          <w:color w:val="auto"/>
          <w:spacing w:val="0"/>
          <w:position w:val="0"/>
          <w:sz w:val="28"/>
          <w:shd w:fill="auto" w:val="clear"/>
        </w:rPr>
        <w:t xml:space="preserve">Не ратифицирована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Российской Федерацией // Текст Конвенции размещен на официальном сервере Бюро МОТ в Москве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www.ilo.ru</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Рекомендация МОТ от 19 июля 1997г. № 188 о частных агентствах занятости. // Текст Рекомендации размещен на официальном сервере Бюро МОТ в Москве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www.ilo.ru</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 РФ от 19 апреля 1991г. № 1032-1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занятости населения в РФ</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Ведомости Съезда народных депутатов РФ и Верховного Совета РФ. – 1991. – № 18 –. ст. 566.;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Федеральный закон РФ от 24 ноября 1995г. № 181-ФЗ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социальной защите инвалидов в РФ</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СЗ РФ. – 1995. – № 48. – ст.4563.</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Федеральный закон от 25 июля 2002 г. № 115-ФЗ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правовом положении иностранных граждан в Российской Федерации</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СЗ РФ. – 2002. – № 30. – ст.3032.;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 Правительства РФ от 22 апреля 1997г. № 458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регистрации безработных граждан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последующими изменениями) // СЗ РФ. – 2000. – № 41.</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 Правительства РФ от 14 июля 1997г. № 875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положения об организации общественных работ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последующими изменениями) // СЗ РФ. – 1997. – № 17. – ст.3533.</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 Правительства РФ от 15 ноября 2006 г. № 681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выдачи разрешительных документов для осуществления иностранными гражданами временной трудовой деятельности в Российской Федерации</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РГ. – 2006. – № 257</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 Правительства РФ от 02 июля 2007г. № 422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финансировании материальных затрат безработных граждан в связи с направлением их на работу или обучение в другую местность по предложению государственной службы занятости населения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РГ. – № 147. – 11.07.2007;</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Положение об организации работы по содействию занятости в условиях массового высвобождения (утв. постановлением Совета Министров - Правительства РФ от 5 февраля 1993 г. № 99) // РГ. – 1993. – № 46.</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 Нижегородской области от 25 апреля 1997 г. № 70-З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молодежной политике в Нижегородской области</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Нижегородские новости. – 07.05.1997. – № 84.</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 Нижегородской области от 26 декабря 2007 г. № 191-З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квотировании рабочих мест</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Нижегородские новости. – 10.01.2008. – № 3.</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 Минтруда РФ № 3, Минобразования РФ № 1 от 13.01.2000 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 Бюллетень нормативных актов федеральных органов исполнительной власти. – № 11. – 13.03.2000;</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 Правительства Нижегородской области от 20.04.2009 № 235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предоставления работодателями информации о наличии вакантных рабочих мест (должностей) в центры занятости населения районов (городов) Нижегородской области</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Нижегородские новости. – 07.05.2009. – № 81.</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 Правительства Нижегородской области от 14.01.2009 № 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областной целевой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дополнительных мерах, направленных на снижение напряженности на рынке труда Нижегородской области в 2009 году</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Нижегородские новости. – 12.03.2009. – № 43.</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Рекомендуемая литература</w:t>
      </w:r>
    </w:p>
    <w:p>
      <w:pPr>
        <w:spacing w:before="0" w:after="0" w:line="240"/>
        <w:ind w:right="0" w:left="0" w:firstLine="709"/>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Книги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Киселев И.Я. Трудовое право России и зарубежных стран : учебник  М.: 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Эксмо</w:t>
      </w:r>
      <w:r>
        <w:rPr>
          <w:rFonts w:ascii="Times New Roman" w:hAnsi="Times New Roman" w:cs="Times New Roman" w:eastAsia="Times New Roman"/>
          <w:color w:val="auto"/>
          <w:spacing w:val="0"/>
          <w:position w:val="0"/>
          <w:sz w:val="28"/>
          <w:shd w:fill="auto" w:val="clear"/>
        </w:rPr>
        <w:t xml:space="preserve">», 2005;</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Никонов Д.А., Стремоухов А.В. Трудовое право: Курс лекций. – М.: Норма, 2007.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Пресняков М.В., Чанов С.Е. Трудовое право России: Учебник. – М.: Юристъ, 2007.; Трудовое право : учебник 2-е издание / под редакцией О.В. Смирнова. – М.: Проспект, 2005;</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Джиоев С.Х. Содействие трудовой занятости: учебное пособие.  М.: ТК Велби, Изд-во Проспект, 2006;</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Трудовое право России: учебник для вузов / А.В.Завгородний, В.В.Коробченко, А.В.Кузьменко и др.; под общ. Ред. Е.Б.Хохлова, В.А.Сафонова. – М.: 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Юрайт-Издат</w:t>
      </w:r>
      <w:r>
        <w:rPr>
          <w:rFonts w:ascii="Times New Roman" w:hAnsi="Times New Roman" w:cs="Times New Roman" w:eastAsia="Times New Roman"/>
          <w:color w:val="auto"/>
          <w:spacing w:val="0"/>
          <w:position w:val="0"/>
          <w:sz w:val="28"/>
          <w:shd w:fill="auto" w:val="clear"/>
        </w:rPr>
        <w:t xml:space="preserve">», 2008;</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Рынок труда: учебное пособие / под редакцией П.Э.Шлендера. – М.: Вузовский учебник, 2004.</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Соловьев А.А. Вопросы занятости и трудоустройства. – М.: Приор, 2000.</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Тихомиров М.Ю. Перевод на другую работу и иные изменения условий труда: Практическое пособие – Издательство Тихомирова М.Ю., 2009;</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Тихомиров М.Ю. Трудовой договор: Практическое пособие для работодателей и работников – Издательство Тихомирова М.Ю., 2009;</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Статьи</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Иванкина Т. Возможно ли предотвращение массовых увольнений // Кадровик. Трудовое право для кадровика. – 2009. – №1.</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Козлова Е.Б. Направление безработных на работу или обучение в другую местность. // Справочник кадровика. – 2006. – № 2.</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Косульникова М. Социальная поддержка безработных граждан // Кадровая служба и управление персоналом предприятия. – 2009. – № 4;</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Можайский В. Особенности национального рекрутмента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Мичуринский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подход к отбору соискателей или произвол работодателя? // Трудовое право. – 2007. – №4.</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Нуртдинова А. Заемный труд: особенности организации и возможности правового регулирования. // Хозяйство и Право − 2004. − №3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Орлова Е. Проблемы реализации гарантий в сфере занятости // Кадровик. Трудовое право для кадровика. – 2009. – №2.</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Парягина О.А. Инвалиды: дискриминация и занятость. // Трудовое право. – 2007. – № 4.</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Серегина Л.В. Квотирование рабочих мест для граждан, испытывающих трудности в поисках работы. // Трудовое право. – 2007. – №3.</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Методические указания по выполнению контрольной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Общие указания.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Контрольная работа является одной из форм учебной работы по самостоятельному изучению студентами курса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Трудовое право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Целью выполнения письменной контрольной работы является привитие студентам умения и навыков пользования монографической литературой, законодательством, нормативными, информационными и другими материалами, научить студентов проводить анализ правоприменительной практики, юридически правильно квалифицировать факты и обстоятельства, решать учебно-практические задачи, обосновывать принимаемые решения и грамотно их излагать.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 для контрольной работы состоят из десяти вариантов. Каждый вариант состоит из теоретической и практической частей. В теоретическую часть входит один вопрос, при ответе на который студенту следует руководствоваться предложенным планом. Практическая часть состоит из одной ситуационной задачи. Конкретный вариант, выполняемый студентом, определяется последней цифрой номера его зачетной книжки (десятый вариант выполняют студенты, номер зачетной книжки которых оканчивается на 0). Вариант контрольной работы может быть изменен только по согласованию с преподавателем. При несоблюдении данного условия контрольная работа оценивается как не зачтенная.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облегчения подготовки контрольной работы к каждой теме дается примерный перечень литературы и нормативных актов. Студентам следует учитывать, что указанные перечни не являются исчерпывающими. В настоящее время идет процесс активного реформирования трудового законодательства, сопровождающийся принятием новых нормативных актов, регулирующих трудовые отношения, внесением изменений в действующую нормативную базу, а также пересмотром отдельных теоретических концепций трудового права. Все это требует внимательного изучения, как трудового законодательства, так и новейшей литературы по проблемам трудового права, включая монографии и статьи в периодических журналах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Государство и право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Трудовое право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Трудовые споры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 Кроме того, необходимо изучить сформировавшуюся правоприменительную практику. С этой целью следует использовать специализированные издания, такие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Бюллетень Верховного Суда РФ</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подготовке к выполнению контрольной работы рекомендуется использовать электронные правовые базы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Гарант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КонсультантПлюс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 а также материалы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размещенные на официальных сайтах, примерный перечень которых приведен в разделе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Источники в сети Интернет</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Требования к содержанию контрольной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должна носить самостоятельный характер и полностью раскрывать избранную тему (п.2.1 Положения).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Структурно работа должна состоять из плана, основного содержания, и библиографического списка (списка использованных источников).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приложениях к работе могут быть приведены таблицы, схемы, диаграммы и другие прикладные материалы, иллюстрирующие основной текст. Приложения располагаются после библиографического списка. Для написания рецензии в работе после титульного листа должен быть подшит чистый лист бумаги.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Библиографический список должен содержать: нормативно-правовые акты и юридические документы; книги и монографии; научные статьи; материалы периодической печати и практики.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выполнению теоретической части контрольной работы студент должен основательно подготовиться, изучив основные положения общей части курса, без знания которых невозможно понимание предмета в целом и правильное освещение отдельных его институтов. При ответах на теоретические вопросы следует использовать рекомендованную литературу и нормативный материал. Не следует механически переписывать содержание рекомендованных источников, необходимо стремиться излагать изученный материал своими словами. Все приводимые при этом цитаты должны быть правильно оформлены.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теоретический вопрос не должен быть слишком объёмным, следует стремиться раскрыть наиболее принципиальные, существенные черты рассматриваемого вопроса. В ответе на теоретический вопрос должны содержаться следующие моменты:</w:t>
      </w:r>
    </w:p>
    <w:p>
      <w:pPr>
        <w:tabs>
          <w:tab w:val="left" w:pos="106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определения всех основных понятий;</w:t>
      </w:r>
    </w:p>
    <w:p>
      <w:pPr>
        <w:tabs>
          <w:tab w:val="left" w:pos="106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названия основных нормативных актов, относящихся к данному вопросу;</w:t>
      </w:r>
    </w:p>
    <w:p>
      <w:pPr>
        <w:tabs>
          <w:tab w:val="left" w:pos="106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содержание правовых норм, регулирующих этот вид отношений;</w:t>
      </w:r>
    </w:p>
    <w:p>
      <w:pPr>
        <w:tabs>
          <w:tab w:val="left" w:pos="106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основные особенности применения этих норм на практике.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Желательно также кратко изложить основные теоретические положения, высказывания по рассматриваемому вопросу в юридической литературе.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решении задачи необходимо тщательно проанализировать изложенные фактические обстоятельства, необходимо установить характер возникших правоотношений, а далее с учетом характера и видов возникших правоотношений – определить, какие нормативные правовые акты необходимо применить. Изучив содержание этих нормативных актов можно приступать к решению задачи. При этом следует учитывать все обстоятельства, приведённые в задаче и предложить все возможные варианты решения.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решении задачи необходимо руководствоваться не только действующими нормативными актами, но и материалами судебной практики.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задачи должно содержать: </w:t>
      </w:r>
    </w:p>
    <w:p>
      <w:pPr>
        <w:tabs>
          <w:tab w:val="left" w:pos="106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ответы на поставленные вопросы;</w:t>
      </w:r>
    </w:p>
    <w:p>
      <w:pPr>
        <w:tabs>
          <w:tab w:val="left" w:pos="106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краткую характеристику обстоятельств, на основании которых было принято такое решение;</w:t>
      </w:r>
    </w:p>
    <w:p>
      <w:pPr>
        <w:tabs>
          <w:tab w:val="left" w:pos="106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обоснование каждого этапа решения задачи с приведением ссылок на закон и материалы судебной практики.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письменном ответе на решение задачи недостаточно только сослаться на правовую норму, необходимо также изложить её содержание в части, относящейся к принятому решению, а также указать, какие именно условия задачи дают основания для её применения. Условие задачи переписывать не требуется, следует указать лишь вариант выполняемой контрольной работы и вопрос, на который дается ответ.</w:t>
      </w: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Требования к оформлению контрольной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 работы должен быть выполнен на одной стороне листа бумаги формата А-4 (210х297 мм.). Общий объем контрольной работы не должен превышать 15 страниц печатного текста. Титульный лист, план, список литературы не входят в указанное число страниц. Допускается выполнение работы в рукописном варианте. При этом работа должна быть выполнена аккуратным и разборчивым почерком.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выполняется шрифтом Arial, размер шрифта – 11, междустрочный интервал – полуторный (1,5).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Поля страницы: сверху и снизу – 2 см, слева – 3 см, справа – 1,5 см.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Оформление титульного листа производится по установленной форме (см. приложение).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Нумерация страниц обязательна. В конце работы ставиться дата выполнения и подпись студента.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Регистрация контрольной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подлежит регистрации в установленном порядке на кафедре предпринимательского и финансового права. Незарегистрированные контрольные работы к рассмотрению не принимаются.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Рецензирование контрольной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Рецензирование работы проводится после её регистрации.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Контрольная работа не может быть оценена положительно если: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представляет собой текст, механически переписанный из учебников или иной литературы;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теоретические вопросы раскрыты поверхностно,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содержании работы допущены принципиальные ошибки,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применены нормативные акты утратившие силу,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соблюдены требования к оформлению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наличии одного или нескольких из перечисленных замечаний работа оценивается как не зачтенная и возвращается студенту. Получив проверенную контрольную работу, студент должен внимательно ознакомиться с содержанием рецензии, выполнить все рекомендации преподавателя. После повторного выполнения рабата сдается на кафедру с обязательным приложением рецензии и не зачтенного варианта контрольной работы.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ilo.ru/" Id="docRId0" Type="http://schemas.openxmlformats.org/officeDocument/2006/relationships/hyperlink"/><Relationship TargetMode="External" Target="http://www.ilo.ru/"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